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2C" w:rsidRPr="007B6C2C" w:rsidRDefault="007B6C2C" w:rsidP="004A6832">
      <w:pPr>
        <w:pStyle w:val="Tijeloteksta"/>
        <w:spacing w:line="276" w:lineRule="auto"/>
        <w:jc w:val="both"/>
      </w:pPr>
      <w:r w:rsidRPr="009778D5">
        <w:t xml:space="preserve">Temeljem članka 41. Statuta općine Prozor – Rama – prečišćeni tekst („Službeni glasnik općine Prozor – Rama“ br. 3/01), Programa poticaja za zapošljavanje u općini Prozor – Rama </w:t>
      </w:r>
      <w:r w:rsidRPr="0040767C">
        <w:t xml:space="preserve">(„Službeni glasnik općine Prozor-Rama“, broj: 4/11), </w:t>
      </w:r>
      <w:r w:rsidR="004A6832">
        <w:t xml:space="preserve">Programa utroška sredstava poticaja za zapošljavanje </w:t>
      </w:r>
      <w:r w:rsidRPr="0040767C">
        <w:t xml:space="preserve">i  Odluke </w:t>
      </w:r>
      <w:r w:rsidRPr="0040767C">
        <w:rPr>
          <w:bCs/>
        </w:rPr>
        <w:t xml:space="preserve">o pokretanju Javnog poziva za </w:t>
      </w:r>
      <w:r w:rsidRPr="007B6C2C">
        <w:rPr>
          <w:bCs/>
        </w:rPr>
        <w:t>odabir korisnika sredstava za poticaj za zapošljavanje u općini Prozor-Rama u 2020.godini</w:t>
      </w:r>
      <w:r w:rsidR="004A6832">
        <w:rPr>
          <w:bCs/>
        </w:rPr>
        <w:t xml:space="preserve"> </w:t>
      </w:r>
      <w:r w:rsidRPr="007B6C2C">
        <w:t xml:space="preserve">broj: 01/1- </w:t>
      </w:r>
      <w:r w:rsidR="001D53D6">
        <w:t>30</w:t>
      </w:r>
      <w:r>
        <w:t xml:space="preserve"> </w:t>
      </w:r>
      <w:r w:rsidRPr="007B6C2C">
        <w:t>–</w:t>
      </w:r>
      <w:r w:rsidR="002A5173">
        <w:t xml:space="preserve"> </w:t>
      </w:r>
      <w:r w:rsidR="001D53D6">
        <w:t>1380</w:t>
      </w:r>
      <w:r w:rsidRPr="007B6C2C">
        <w:t>/20 od 0</w:t>
      </w:r>
      <w:r w:rsidR="001D53D6">
        <w:t>4</w:t>
      </w:r>
      <w:r w:rsidRPr="007B6C2C">
        <w:t>.0</w:t>
      </w:r>
      <w:r w:rsidR="001D53D6">
        <w:t>6</w:t>
      </w:r>
      <w:r w:rsidRPr="007B6C2C">
        <w:t>.2020. god.,  Načelnik općine Prozor – Rama objavljuje:</w:t>
      </w:r>
    </w:p>
    <w:p w:rsidR="007B6C2C" w:rsidRPr="0040767C" w:rsidRDefault="007B6C2C">
      <w:pPr>
        <w:pStyle w:val="Tijeloteksta"/>
        <w:spacing w:line="276" w:lineRule="auto"/>
        <w:jc w:val="center"/>
        <w:rPr>
          <w:b/>
        </w:rPr>
      </w:pPr>
      <w:r w:rsidRPr="0040767C">
        <w:rPr>
          <w:b/>
        </w:rPr>
        <w:t>J A V N I   P O Z I V</w:t>
      </w:r>
    </w:p>
    <w:p w:rsidR="007B6C2C" w:rsidRPr="0040767C" w:rsidRDefault="007B6C2C">
      <w:pPr>
        <w:pStyle w:val="Tijeloteksta"/>
        <w:spacing w:line="276" w:lineRule="auto"/>
        <w:jc w:val="center"/>
        <w:rPr>
          <w:b/>
        </w:rPr>
      </w:pPr>
      <w:r w:rsidRPr="0040767C">
        <w:rPr>
          <w:b/>
        </w:rPr>
        <w:t> za odabir korisnika grant sredstava po Programu poticaja za zapošljavanje u općini Prozor-Rama</w:t>
      </w:r>
    </w:p>
    <w:p w:rsidR="007B6C2C" w:rsidRPr="002514CA" w:rsidRDefault="007B6C2C">
      <w:pPr>
        <w:pStyle w:val="Tijeloteksta"/>
        <w:spacing w:line="276" w:lineRule="auto"/>
        <w:jc w:val="center"/>
        <w:rPr>
          <w:b/>
        </w:rPr>
      </w:pPr>
    </w:p>
    <w:p w:rsidR="007B6C2C" w:rsidRPr="007B6C2C" w:rsidRDefault="007B6C2C">
      <w:pPr>
        <w:pStyle w:val="Tijeloteksta"/>
        <w:spacing w:line="276" w:lineRule="auto"/>
        <w:jc w:val="both"/>
      </w:pPr>
      <w:r w:rsidRPr="0040767C">
        <w:t xml:space="preserve">Predmet Javnog poziva je prikupljanje prijava za odabir korisnika grant sredstava iz sredstava </w:t>
      </w:r>
      <w:r w:rsidRPr="007B6C2C">
        <w:t>za poticanje zapošljavanja na po</w:t>
      </w:r>
      <w:r>
        <w:t>dručju općine Prozor-Rama za 2020</w:t>
      </w:r>
      <w:r w:rsidRPr="007B6C2C">
        <w:t>. godinu.</w:t>
      </w:r>
    </w:p>
    <w:p w:rsidR="007B6C2C" w:rsidRDefault="007B6C2C">
      <w:pPr>
        <w:pStyle w:val="Tijeloteksta"/>
        <w:rPr>
          <w:color w:val="000000"/>
        </w:rPr>
      </w:pPr>
      <w:r>
        <w:t> </w:t>
      </w:r>
      <w:proofErr w:type="spellStart"/>
      <w:r>
        <w:rPr>
          <w:color w:val="000000"/>
        </w:rPr>
        <w:t>Grantovi</w:t>
      </w:r>
      <w:proofErr w:type="spellEnd"/>
      <w:r>
        <w:rPr>
          <w:color w:val="000000"/>
        </w:rPr>
        <w:t xml:space="preserve"> – nepovratna sredstva će se po utvrđenim kriterijima i po </w:t>
      </w:r>
      <w:r w:rsidRPr="004A67D1">
        <w:rPr>
          <w:color w:val="000000"/>
        </w:rPr>
        <w:t>prihvaćenim</w:t>
      </w:r>
      <w:r>
        <w:rPr>
          <w:color w:val="000000"/>
        </w:rPr>
        <w:t xml:space="preserve"> programima dodjeljivati poduzetnicima  za povećanje broja uposlenih u oblastima definiranima u poglavlju „Korisnici“. Visina sredstava usklađuje se sa brojem novouposlenih djelatnika i rokom u kojem je Korisnik obvezan zadržati ugovorenu uposlenost, a može se korigirati očekivanim utjecajem na neizravnu zaposlenost na području općine Prozor – Rama do 20%. </w:t>
      </w:r>
    </w:p>
    <w:p w:rsidR="007B6C2C" w:rsidRDefault="007B6C2C">
      <w:pPr>
        <w:pStyle w:val="Tijeloteksta"/>
        <w:rPr>
          <w:color w:val="000000"/>
        </w:rPr>
      </w:pPr>
      <w:r>
        <w:rPr>
          <w:color w:val="000000"/>
        </w:rPr>
        <w:t>Poticaj za zapošljavanje odobravati će se za mala ulaganja (investitori nemaju potrebu za dokazivanjem većih ulaganja) i za veća ulaganja koja planiraju investitori, za najmanje 3 (tri) novouposlena djelatnika po slijedećim elementima:</w:t>
      </w:r>
    </w:p>
    <w:p w:rsidR="00CD2327" w:rsidRDefault="00CD2327" w:rsidP="00CD2327">
      <w:pPr>
        <w:pStyle w:val="Tijeloteksta"/>
        <w:numPr>
          <w:ilvl w:val="1"/>
          <w:numId w:val="2"/>
        </w:numPr>
        <w:spacing w:line="276" w:lineRule="auto"/>
      </w:pPr>
      <w:r>
        <w:t xml:space="preserve"> Poticaj za zapošljavanje po novouposlenom radniku</w:t>
      </w:r>
    </w:p>
    <w:p w:rsidR="007B6C2C" w:rsidRPr="002514CA" w:rsidRDefault="007B6C2C" w:rsidP="00CD2327">
      <w:pPr>
        <w:pStyle w:val="Tijeloteksta"/>
        <w:spacing w:line="276" w:lineRule="auto"/>
        <w:ind w:left="420"/>
      </w:pPr>
      <w:r w:rsidRPr="002514CA">
        <w:t>Mala ulaganja - Poticanje novog zapošljavanja kod Korisnika koji nemaju potrebu za većim ulaganjima, primjenjivat će se slijedeći kriteriji:</w:t>
      </w:r>
    </w:p>
    <w:tbl>
      <w:tblPr>
        <w:tblW w:w="972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0"/>
        <w:gridCol w:w="2230"/>
        <w:gridCol w:w="2900"/>
      </w:tblGrid>
      <w:tr w:rsidR="007B6C2C" w:rsidRPr="0019763E" w:rsidTr="00F72C84"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>
            <w:pPr>
              <w:pStyle w:val="Sadrajitablice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  <w:r>
              <w:t>Broj novouposlenih</w:t>
            </w:r>
            <w:r w:rsidR="00E34981">
              <w:t>- uposlenih</w:t>
            </w:r>
          </w:p>
          <w:p w:rsidR="007B6C2C" w:rsidRDefault="007B6C2C">
            <w:pPr>
              <w:pStyle w:val="Sadrajitablice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  <w:r>
              <w:t>Minimalni broj novouposlenih radnika: 3 (tri)</w:t>
            </w:r>
          </w:p>
        </w:tc>
        <w:tc>
          <w:tcPr>
            <w:tcW w:w="2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>
            <w:pPr>
              <w:pStyle w:val="Sadrajitablice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  <w:r>
              <w:t>Visina grant sredstava po 1 novouposlenom</w:t>
            </w:r>
          </w:p>
        </w:tc>
        <w:tc>
          <w:tcPr>
            <w:tcW w:w="2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B6C2C" w:rsidRDefault="007B6C2C">
            <w:pPr>
              <w:pStyle w:val="Sadrajitablice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  <w:r>
              <w:t>Minimalni rok ugovaranja rada novouposlenih  - godina</w:t>
            </w:r>
          </w:p>
        </w:tc>
      </w:tr>
      <w:tr w:rsidR="007B6C2C" w:rsidRPr="0019763E" w:rsidTr="00F72C84">
        <w:trPr>
          <w:trHeight w:val="292"/>
        </w:trPr>
        <w:tc>
          <w:tcPr>
            <w:tcW w:w="45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Pr="005726E4" w:rsidRDefault="007B6C2C" w:rsidP="00F72C84">
            <w:pPr>
              <w:pStyle w:val="Bezproreda"/>
              <w:snapToGrid w:val="0"/>
            </w:pPr>
            <w:r w:rsidRPr="005726E4">
              <w:t>3 - 10</w:t>
            </w:r>
          </w:p>
        </w:tc>
        <w:tc>
          <w:tcPr>
            <w:tcW w:w="22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Pr="005726E4" w:rsidRDefault="007B6C2C" w:rsidP="00F72C84">
            <w:pPr>
              <w:pStyle w:val="Bezproreda"/>
              <w:snapToGrid w:val="0"/>
              <w:ind w:right="42"/>
              <w:jc w:val="right"/>
            </w:pPr>
            <w:r w:rsidRPr="005726E4">
              <w:t>3</w:t>
            </w:r>
            <w:r>
              <w:t>.</w:t>
            </w:r>
            <w:r w:rsidRPr="005726E4">
              <w:t>500,00</w:t>
            </w:r>
          </w:p>
        </w:tc>
        <w:tc>
          <w:tcPr>
            <w:tcW w:w="2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B6C2C" w:rsidRPr="005726E4" w:rsidRDefault="007B6C2C">
            <w:pPr>
              <w:pStyle w:val="Bezproreda"/>
              <w:snapToGrid w:val="0"/>
              <w:jc w:val="center"/>
            </w:pPr>
            <w:r w:rsidRPr="005726E4">
              <w:t>1</w:t>
            </w:r>
          </w:p>
        </w:tc>
      </w:tr>
      <w:tr w:rsidR="007B6C2C" w:rsidRPr="0019763E" w:rsidTr="00F72C84">
        <w:tc>
          <w:tcPr>
            <w:tcW w:w="45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Pr="005726E4" w:rsidRDefault="007B6C2C">
            <w:pPr>
              <w:pStyle w:val="Bezproreda"/>
              <w:snapToGrid w:val="0"/>
            </w:pPr>
            <w:r w:rsidRPr="005726E4">
              <w:t>11 - 20</w:t>
            </w:r>
          </w:p>
        </w:tc>
        <w:tc>
          <w:tcPr>
            <w:tcW w:w="22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Pr="005726E4" w:rsidRDefault="007B6C2C" w:rsidP="00F72C84">
            <w:pPr>
              <w:pStyle w:val="Bezproreda"/>
              <w:snapToGrid w:val="0"/>
              <w:ind w:right="42"/>
              <w:jc w:val="right"/>
            </w:pPr>
            <w:r w:rsidRPr="005726E4">
              <w:t>4.000,00</w:t>
            </w:r>
          </w:p>
        </w:tc>
        <w:tc>
          <w:tcPr>
            <w:tcW w:w="2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B6C2C" w:rsidRPr="005726E4" w:rsidRDefault="007B6C2C">
            <w:pPr>
              <w:pStyle w:val="Bezproreda"/>
              <w:snapToGrid w:val="0"/>
              <w:jc w:val="center"/>
            </w:pPr>
            <w:r w:rsidRPr="005726E4">
              <w:t>2</w:t>
            </w:r>
          </w:p>
        </w:tc>
      </w:tr>
      <w:tr w:rsidR="007B6C2C" w:rsidRPr="0019763E" w:rsidTr="00F72C84">
        <w:tc>
          <w:tcPr>
            <w:tcW w:w="45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</w:pPr>
            <w:r>
              <w:t xml:space="preserve">21- 40 </w:t>
            </w:r>
          </w:p>
        </w:tc>
        <w:tc>
          <w:tcPr>
            <w:tcW w:w="22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 w:rsidP="00F72C84">
            <w:pPr>
              <w:pStyle w:val="Bezproreda"/>
              <w:snapToGrid w:val="0"/>
              <w:ind w:right="42"/>
              <w:jc w:val="right"/>
            </w:pPr>
            <w:r>
              <w:t>4.500,00</w:t>
            </w:r>
          </w:p>
        </w:tc>
        <w:tc>
          <w:tcPr>
            <w:tcW w:w="2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center"/>
            </w:pPr>
            <w:r>
              <w:t>3</w:t>
            </w:r>
          </w:p>
        </w:tc>
      </w:tr>
      <w:tr w:rsidR="007B6C2C" w:rsidRPr="0019763E" w:rsidTr="00F72C84">
        <w:tc>
          <w:tcPr>
            <w:tcW w:w="45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</w:pPr>
            <w:r>
              <w:t xml:space="preserve">Preko 40 </w:t>
            </w:r>
          </w:p>
        </w:tc>
        <w:tc>
          <w:tcPr>
            <w:tcW w:w="22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 w:rsidP="00F72C84">
            <w:pPr>
              <w:pStyle w:val="Bezproreda"/>
              <w:snapToGrid w:val="0"/>
              <w:ind w:right="42"/>
              <w:jc w:val="right"/>
            </w:pPr>
            <w:r>
              <w:t>5.000,00</w:t>
            </w:r>
          </w:p>
        </w:tc>
        <w:tc>
          <w:tcPr>
            <w:tcW w:w="2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center"/>
            </w:pPr>
            <w:r>
              <w:t>4</w:t>
            </w:r>
          </w:p>
        </w:tc>
      </w:tr>
    </w:tbl>
    <w:p w:rsidR="007B6C2C" w:rsidRPr="002514CA" w:rsidRDefault="007B6C2C" w:rsidP="00F72C84">
      <w:pPr>
        <w:pStyle w:val="Bezproreda"/>
      </w:pPr>
      <w:r>
        <w:t> </w:t>
      </w:r>
      <w:r w:rsidR="00CD2327">
        <w:tab/>
      </w:r>
      <w:r w:rsidRPr="002514CA">
        <w:t xml:space="preserve">Veća ulaganja - Poticanje novog zapošljavanja kod Korisnika koji u svoj Projekt ulažu veća sredstva, primjenjivat će se slijedeći kriteriji: </w:t>
      </w:r>
    </w:p>
    <w:tbl>
      <w:tblPr>
        <w:tblW w:w="96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0"/>
        <w:gridCol w:w="2333"/>
        <w:gridCol w:w="2707"/>
      </w:tblGrid>
      <w:tr w:rsidR="007B6C2C" w:rsidRPr="0019763E" w:rsidTr="00F72C84"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>
            <w:pPr>
              <w:pStyle w:val="Sadrajitablice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  <w:r>
              <w:t>Ukupna ulaganja po jednom novouposlenom djelatniku  KM</w:t>
            </w:r>
          </w:p>
          <w:p w:rsidR="007B6C2C" w:rsidRDefault="007B6C2C">
            <w:pPr>
              <w:pStyle w:val="Sadrajitablice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  <w:r>
              <w:t>Minimalni broj novouposlenih radnika: 3 (tri)</w:t>
            </w:r>
          </w:p>
        </w:tc>
        <w:tc>
          <w:tcPr>
            <w:tcW w:w="2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>
            <w:pPr>
              <w:pStyle w:val="Sadrajitablice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  <w:r>
              <w:t>Grant sredstva po jednom novouposlenom KM</w:t>
            </w:r>
          </w:p>
        </w:tc>
        <w:tc>
          <w:tcPr>
            <w:tcW w:w="27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B6C2C" w:rsidRDefault="007B6C2C">
            <w:pPr>
              <w:pStyle w:val="Sadrajitablice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  <w:r>
              <w:t>Minimalni rok ugovaranja rada novouposlenih  - godina</w:t>
            </w:r>
          </w:p>
        </w:tc>
      </w:tr>
      <w:tr w:rsidR="007B6C2C" w:rsidRPr="0019763E" w:rsidTr="00F72C84">
        <w:tc>
          <w:tcPr>
            <w:tcW w:w="45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 w:rsidP="00F72C84">
            <w:pPr>
              <w:pStyle w:val="Bezproreda"/>
              <w:snapToGrid w:val="0"/>
              <w:jc w:val="right"/>
            </w:pPr>
            <w:r>
              <w:t>35.000,00</w:t>
            </w:r>
          </w:p>
        </w:tc>
        <w:tc>
          <w:tcPr>
            <w:tcW w:w="2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right"/>
            </w:pPr>
            <w:r>
              <w:t>4.000,00</w:t>
            </w:r>
          </w:p>
        </w:tc>
        <w:tc>
          <w:tcPr>
            <w:tcW w:w="27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center"/>
            </w:pPr>
            <w:r>
              <w:t>3</w:t>
            </w:r>
          </w:p>
        </w:tc>
      </w:tr>
      <w:tr w:rsidR="007B6C2C" w:rsidRPr="0019763E" w:rsidTr="00F72C84">
        <w:tc>
          <w:tcPr>
            <w:tcW w:w="45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 w:rsidP="00F72C84">
            <w:pPr>
              <w:pStyle w:val="Bezproreda"/>
              <w:snapToGrid w:val="0"/>
              <w:jc w:val="right"/>
            </w:pPr>
            <w:r>
              <w:t>50.000,00</w:t>
            </w:r>
          </w:p>
        </w:tc>
        <w:tc>
          <w:tcPr>
            <w:tcW w:w="2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right"/>
            </w:pPr>
            <w:r>
              <w:t>5.000,00</w:t>
            </w:r>
          </w:p>
        </w:tc>
        <w:tc>
          <w:tcPr>
            <w:tcW w:w="27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center"/>
            </w:pPr>
            <w:r>
              <w:t>4</w:t>
            </w:r>
          </w:p>
        </w:tc>
      </w:tr>
      <w:tr w:rsidR="007B6C2C" w:rsidRPr="0019763E" w:rsidTr="00F72C84">
        <w:tc>
          <w:tcPr>
            <w:tcW w:w="45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 w:rsidP="00F72C84">
            <w:pPr>
              <w:pStyle w:val="Bezproreda"/>
              <w:snapToGrid w:val="0"/>
              <w:jc w:val="right"/>
            </w:pPr>
            <w:r>
              <w:t>65.000,00</w:t>
            </w:r>
          </w:p>
        </w:tc>
        <w:tc>
          <w:tcPr>
            <w:tcW w:w="2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right"/>
            </w:pPr>
            <w:r>
              <w:t>6.000,00</w:t>
            </w:r>
          </w:p>
        </w:tc>
        <w:tc>
          <w:tcPr>
            <w:tcW w:w="27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center"/>
            </w:pPr>
            <w:r>
              <w:t>5</w:t>
            </w:r>
          </w:p>
        </w:tc>
      </w:tr>
      <w:tr w:rsidR="007B6C2C" w:rsidRPr="0019763E" w:rsidTr="00F72C84">
        <w:tc>
          <w:tcPr>
            <w:tcW w:w="45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 w:rsidP="00F72C84">
            <w:pPr>
              <w:pStyle w:val="Bezproreda"/>
              <w:snapToGrid w:val="0"/>
              <w:jc w:val="right"/>
            </w:pPr>
            <w:r>
              <w:t>80.000,00</w:t>
            </w:r>
          </w:p>
        </w:tc>
        <w:tc>
          <w:tcPr>
            <w:tcW w:w="2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right"/>
            </w:pPr>
            <w:r>
              <w:t>7.000,00</w:t>
            </w:r>
          </w:p>
        </w:tc>
        <w:tc>
          <w:tcPr>
            <w:tcW w:w="27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center"/>
            </w:pPr>
            <w:r>
              <w:t>6</w:t>
            </w:r>
          </w:p>
        </w:tc>
      </w:tr>
      <w:tr w:rsidR="007B6C2C" w:rsidRPr="0019763E" w:rsidTr="00F72C84">
        <w:tc>
          <w:tcPr>
            <w:tcW w:w="45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 w:rsidP="00F72C84">
            <w:pPr>
              <w:pStyle w:val="Bezproreda"/>
              <w:snapToGrid w:val="0"/>
              <w:jc w:val="right"/>
            </w:pPr>
            <w:r>
              <w:t>95.000,00</w:t>
            </w:r>
          </w:p>
        </w:tc>
        <w:tc>
          <w:tcPr>
            <w:tcW w:w="2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right"/>
            </w:pPr>
            <w:r>
              <w:t>8.000,00</w:t>
            </w:r>
          </w:p>
        </w:tc>
        <w:tc>
          <w:tcPr>
            <w:tcW w:w="27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center"/>
            </w:pPr>
            <w:r>
              <w:t>7</w:t>
            </w:r>
          </w:p>
        </w:tc>
      </w:tr>
      <w:tr w:rsidR="007B6C2C" w:rsidRPr="0019763E" w:rsidTr="00F72C84">
        <w:tc>
          <w:tcPr>
            <w:tcW w:w="45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 w:rsidP="00F72C84">
            <w:pPr>
              <w:pStyle w:val="Bezproreda"/>
              <w:snapToGrid w:val="0"/>
              <w:jc w:val="right"/>
            </w:pPr>
            <w:r>
              <w:t>110.000,00</w:t>
            </w:r>
          </w:p>
        </w:tc>
        <w:tc>
          <w:tcPr>
            <w:tcW w:w="2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right"/>
            </w:pPr>
            <w:r>
              <w:t>9.000,00</w:t>
            </w:r>
          </w:p>
        </w:tc>
        <w:tc>
          <w:tcPr>
            <w:tcW w:w="27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center"/>
            </w:pPr>
            <w:r>
              <w:t>8</w:t>
            </w:r>
          </w:p>
        </w:tc>
      </w:tr>
      <w:tr w:rsidR="007B6C2C" w:rsidRPr="0019763E" w:rsidTr="00F72C84">
        <w:tc>
          <w:tcPr>
            <w:tcW w:w="45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 w:rsidP="00F72C84">
            <w:pPr>
              <w:pStyle w:val="Bezproreda"/>
              <w:snapToGrid w:val="0"/>
              <w:jc w:val="right"/>
            </w:pPr>
            <w:r>
              <w:t>125.000,00</w:t>
            </w:r>
          </w:p>
        </w:tc>
        <w:tc>
          <w:tcPr>
            <w:tcW w:w="2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right"/>
            </w:pPr>
            <w:r>
              <w:t>10.000,00</w:t>
            </w:r>
          </w:p>
        </w:tc>
        <w:tc>
          <w:tcPr>
            <w:tcW w:w="270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B6C2C" w:rsidRDefault="007B6C2C">
            <w:pPr>
              <w:pStyle w:val="Bezproreda"/>
              <w:snapToGrid w:val="0"/>
              <w:jc w:val="center"/>
            </w:pPr>
            <w:r>
              <w:t>8</w:t>
            </w:r>
          </w:p>
        </w:tc>
      </w:tr>
    </w:tbl>
    <w:p w:rsidR="007B6C2C" w:rsidRDefault="007B6C2C" w:rsidP="00F72C84">
      <w:pPr>
        <w:pStyle w:val="Bezproreda"/>
        <w:jc w:val="both"/>
        <w:rPr>
          <w:rFonts w:cs="Times New Roman"/>
        </w:rPr>
      </w:pPr>
      <w:r w:rsidRPr="00306F7C">
        <w:rPr>
          <w:rFonts w:cs="Times New Roman"/>
        </w:rPr>
        <w:lastRenderedPageBreak/>
        <w:t>Poslovni planovi investitora koji  upošljavaju više od 50 uposlenika bit će predmetom posebne obrade i ugovaranja, uz prethodnu suglasnost Općinskog vijeća.</w:t>
      </w:r>
    </w:p>
    <w:p w:rsidR="00CD2327" w:rsidRDefault="00CD2327" w:rsidP="00F72C84">
      <w:pPr>
        <w:pStyle w:val="Bezproreda"/>
        <w:jc w:val="both"/>
        <w:rPr>
          <w:rFonts w:cs="Times New Roman"/>
        </w:rPr>
      </w:pPr>
    </w:p>
    <w:p w:rsidR="007B6C2C" w:rsidRPr="001A762D" w:rsidRDefault="007B6C2C" w:rsidP="00F72C84">
      <w:pPr>
        <w:pStyle w:val="Tijeloteksta"/>
        <w:spacing w:line="276" w:lineRule="auto"/>
        <w:rPr>
          <w:b/>
        </w:rPr>
      </w:pPr>
      <w:r w:rsidRPr="001A762D">
        <w:rPr>
          <w:b/>
        </w:rPr>
        <w:t>Korisnici sredstava, djelatnosti prihvatljive</w:t>
      </w:r>
      <w:r>
        <w:rPr>
          <w:b/>
        </w:rPr>
        <w:t xml:space="preserve"> za poticanje</w:t>
      </w:r>
      <w:r w:rsidRPr="001A762D">
        <w:rPr>
          <w:b/>
        </w:rPr>
        <w:t>:</w:t>
      </w:r>
    </w:p>
    <w:p w:rsidR="007B6C2C" w:rsidRDefault="007B6C2C" w:rsidP="00F72C84">
      <w:pPr>
        <w:pStyle w:val="Tijeloteksta"/>
        <w:spacing w:line="276" w:lineRule="auto"/>
      </w:pPr>
      <w:r>
        <w:t>Korisnici sredstava mogu biti  fizičke i pravne osobe – obrti, mala i srednja poduzeća koja ostvaruju povećanje uposlenih na poslovima proizvodnje i prerade, na području općine Prozor-Rama. Podnositelji trebaju ispunjavati sve zakonom predviđene uvjete za djelatnost po kojoj traže poticaj za zapošljavanje.</w:t>
      </w:r>
    </w:p>
    <w:p w:rsidR="00CD2327" w:rsidRDefault="00CD2327" w:rsidP="00F72C84">
      <w:pPr>
        <w:pStyle w:val="Tijeloteksta"/>
        <w:spacing w:line="276" w:lineRule="auto"/>
      </w:pPr>
      <w:r>
        <w:t>Prijavitelj može podnijeti samo po jednu prijavu po svakom modelu poticaja.</w:t>
      </w:r>
    </w:p>
    <w:p w:rsidR="007B6C2C" w:rsidRDefault="007B6C2C" w:rsidP="00F72C84">
      <w:pPr>
        <w:pStyle w:val="Tijeloteksta"/>
        <w:spacing w:line="276" w:lineRule="auto"/>
      </w:pPr>
      <w:r>
        <w:t>Djelatnosti koje su prihvatljive za poticanje su slijedeće (Klasifikacija djelatnosti BiH 2010):</w:t>
      </w:r>
    </w:p>
    <w:p w:rsidR="00CD2327" w:rsidRDefault="00CD2327" w:rsidP="00F72C84">
      <w:pPr>
        <w:pStyle w:val="Bezproreda"/>
      </w:pPr>
      <w:r>
        <w:t xml:space="preserve">Oblast 01 - </w:t>
      </w:r>
      <w:r w:rsidRPr="00CD2327">
        <w:t>Biljna i stočarska proizvodnja, lovstvo i uslužne djelatnosti povezane s njima</w:t>
      </w:r>
    </w:p>
    <w:p w:rsidR="00CD2327" w:rsidRDefault="00CD2327" w:rsidP="00F72C84">
      <w:pPr>
        <w:pStyle w:val="Bezproreda"/>
      </w:pPr>
      <w:r>
        <w:t xml:space="preserve">Oblast 03 - </w:t>
      </w:r>
      <w:r w:rsidRPr="00CD2327">
        <w:t xml:space="preserve">Ribolov i </w:t>
      </w:r>
      <w:proofErr w:type="spellStart"/>
      <w:r w:rsidRPr="00CD2327">
        <w:t>akvakultura</w:t>
      </w:r>
      <w:proofErr w:type="spellEnd"/>
    </w:p>
    <w:p w:rsidR="007B6C2C" w:rsidRDefault="007B6C2C" w:rsidP="00F72C84">
      <w:pPr>
        <w:pStyle w:val="Bezproreda"/>
      </w:pPr>
      <w:r>
        <w:t>Oblast 10 – Proizvodnja prehrambenih proizvoda,</w:t>
      </w:r>
    </w:p>
    <w:p w:rsidR="007B6C2C" w:rsidRDefault="007B6C2C" w:rsidP="00F72C84">
      <w:pPr>
        <w:pStyle w:val="Bezproreda"/>
      </w:pPr>
      <w:r>
        <w:t>Razred 11.07 - Proizvodnja osvježavajućih pića; proizvodnja mineralne vode i drugih flaširanih voda</w:t>
      </w:r>
    </w:p>
    <w:p w:rsidR="007B6C2C" w:rsidRDefault="007B6C2C" w:rsidP="00F72C84">
      <w:pPr>
        <w:pStyle w:val="Bezproreda"/>
      </w:pPr>
      <w:r>
        <w:t>Oblast 13 – Proizvodnja tekstila,</w:t>
      </w:r>
    </w:p>
    <w:p w:rsidR="007B6C2C" w:rsidRDefault="007B6C2C" w:rsidP="00F72C84">
      <w:pPr>
        <w:pStyle w:val="Bezproreda"/>
      </w:pPr>
      <w:r>
        <w:t>Oblast 14 – Proizvodnja odjeće,</w:t>
      </w:r>
    </w:p>
    <w:p w:rsidR="007B6C2C" w:rsidRDefault="007B6C2C" w:rsidP="00F72C84">
      <w:pPr>
        <w:pStyle w:val="Bezproreda"/>
      </w:pPr>
      <w:r>
        <w:t>Oblast 15 – Proizvodnja kože i srodnih proizvoda,</w:t>
      </w:r>
    </w:p>
    <w:p w:rsidR="007B6C2C" w:rsidRDefault="007B6C2C" w:rsidP="00F72C84">
      <w:pPr>
        <w:pStyle w:val="Bezproreda"/>
      </w:pPr>
      <w:r>
        <w:t xml:space="preserve">Oblast 16 - Prerada drva i proizvoda od drva i pluta; proizvodnja predmeta od slame i </w:t>
      </w:r>
      <w:proofErr w:type="spellStart"/>
      <w:r>
        <w:t>pletarskih</w:t>
      </w:r>
      <w:proofErr w:type="spellEnd"/>
      <w:r>
        <w:t xml:space="preserve"> materijala, osim razreda 16.10. Piljenje i blanjanje drva (proizvodnja rezane građe),</w:t>
      </w:r>
    </w:p>
    <w:p w:rsidR="007B6C2C" w:rsidRDefault="007B6C2C" w:rsidP="00F72C84">
      <w:pPr>
        <w:pStyle w:val="Bezproreda"/>
      </w:pPr>
      <w:r>
        <w:t>Oblast 17 – Proizvodnja papira i proizvoda od papira,</w:t>
      </w:r>
    </w:p>
    <w:p w:rsidR="007B6C2C" w:rsidRDefault="007B6C2C" w:rsidP="00F72C84">
      <w:pPr>
        <w:pStyle w:val="Bezproreda"/>
      </w:pPr>
      <w:r>
        <w:t>Oblast 20 – Proizvodnja kemikalija i kemijskih proizvoda,</w:t>
      </w:r>
    </w:p>
    <w:p w:rsidR="007B6C2C" w:rsidRDefault="007B6C2C" w:rsidP="00F72C84">
      <w:pPr>
        <w:pStyle w:val="Bezproreda"/>
      </w:pPr>
      <w:r>
        <w:t>Oblast 22 - Proizvodnja proizvoda od gume i plastičnih masa,</w:t>
      </w:r>
    </w:p>
    <w:p w:rsidR="007B6C2C" w:rsidRDefault="007B6C2C" w:rsidP="00F72C84">
      <w:pPr>
        <w:pStyle w:val="Bezproreda"/>
      </w:pPr>
      <w:r>
        <w:t>Oblast 23 – Proizvodnja ostalih nemetalnih proizvoda,</w:t>
      </w:r>
    </w:p>
    <w:p w:rsidR="007B6C2C" w:rsidRDefault="007B6C2C" w:rsidP="00F72C84">
      <w:pPr>
        <w:pStyle w:val="Bezproreda"/>
      </w:pPr>
      <w:r>
        <w:t>Oblast 24 – Proizvodnja baznih metala,</w:t>
      </w:r>
    </w:p>
    <w:p w:rsidR="007B6C2C" w:rsidRDefault="007B6C2C" w:rsidP="00F72C84">
      <w:pPr>
        <w:pStyle w:val="Bezproreda"/>
      </w:pPr>
      <w:r>
        <w:t>Oblast 25 - Proizvodnja gotovih metalnih proizvoda, osim strojeva i opreme,</w:t>
      </w:r>
    </w:p>
    <w:p w:rsidR="007B6C2C" w:rsidRDefault="007B6C2C" w:rsidP="00F72C84">
      <w:pPr>
        <w:pStyle w:val="Bezproreda"/>
      </w:pPr>
      <w:r>
        <w:t xml:space="preserve">Oblast 26 - Proizvodnja računala te elektroničkih i optičkih proizvoda, </w:t>
      </w:r>
    </w:p>
    <w:p w:rsidR="007B6C2C" w:rsidRDefault="007B6C2C" w:rsidP="00F72C84">
      <w:pPr>
        <w:pStyle w:val="Bezproreda"/>
      </w:pPr>
      <w:r>
        <w:t>Oblast 27 – Proizvodnja električne opreme,</w:t>
      </w:r>
    </w:p>
    <w:p w:rsidR="007B6C2C" w:rsidRDefault="007B6C2C" w:rsidP="00F72C84">
      <w:pPr>
        <w:pStyle w:val="Bezproreda"/>
      </w:pPr>
      <w:r>
        <w:t>Oblast 28 – Proizvodnja strojeva i uređaja,</w:t>
      </w:r>
    </w:p>
    <w:p w:rsidR="007B6C2C" w:rsidRDefault="007B6C2C" w:rsidP="00F72C84">
      <w:pPr>
        <w:pStyle w:val="Bezproreda"/>
      </w:pPr>
      <w:r>
        <w:t>Oblast 29 – Proizvodnja motornih vozila, prikolica i poluprikolica,</w:t>
      </w:r>
    </w:p>
    <w:p w:rsidR="007B6C2C" w:rsidRDefault="007B6C2C" w:rsidP="00F72C84">
      <w:pPr>
        <w:pStyle w:val="Bezproreda"/>
      </w:pPr>
      <w:r>
        <w:t>Oblast 30 – Proizvodnja ostalih prijevoznih sredstava,</w:t>
      </w:r>
    </w:p>
    <w:p w:rsidR="007B6C2C" w:rsidRDefault="007B6C2C" w:rsidP="00F72C84">
      <w:pPr>
        <w:pStyle w:val="Bezproreda"/>
      </w:pPr>
      <w:r>
        <w:t>Oblast 31 – Proizvodnja namještaja,</w:t>
      </w:r>
    </w:p>
    <w:p w:rsidR="007B6C2C" w:rsidRDefault="007B6C2C" w:rsidP="00F72C84">
      <w:pPr>
        <w:pStyle w:val="Bezproreda"/>
      </w:pPr>
      <w:r>
        <w:t>Oblast 32 – Ostala prerađivačka industrija,</w:t>
      </w:r>
    </w:p>
    <w:p w:rsidR="007B6C2C" w:rsidRDefault="007B6C2C" w:rsidP="00F72C84">
      <w:pPr>
        <w:pStyle w:val="Tijeloteksta"/>
        <w:spacing w:line="276" w:lineRule="auto"/>
      </w:pPr>
      <w:r>
        <w:t xml:space="preserve">Ostale oblasti i razredi djelatnosti, ukoliko Povjerenstvo za provođenje  Javnog poziva utvrdi da isti predstavljaju proizvodnu djelatnost kojom se povećava broj uposlenih radnika. </w:t>
      </w:r>
    </w:p>
    <w:p w:rsidR="007B6C2C" w:rsidRDefault="007B6C2C" w:rsidP="00F72C84">
      <w:pPr>
        <w:pStyle w:val="Tijeloteksta"/>
        <w:spacing w:line="276" w:lineRule="auto"/>
      </w:pPr>
      <w:r>
        <w:t>Povjerenstvo ima pravo ne predložiti djelatnosti koje predstavljaju proizvodnju vezanu za iskorištavanje prirodnih resursa: vode, drveta, ruda i mineralnih sirovina i sl.</w:t>
      </w:r>
    </w:p>
    <w:p w:rsidR="007B6C2C" w:rsidRDefault="007B6C2C" w:rsidP="00F72C84">
      <w:pPr>
        <w:pStyle w:val="Tijeloteksta"/>
        <w:spacing w:line="276" w:lineRule="auto"/>
      </w:pPr>
      <w:r>
        <w:t>Povjerenstvo može predložiti a Načelnik odobriti i manji broj programa koji rezultiraju novim zapošljavanjem i u slučaju da oni odstupaju od prethodno iskazanih kriterija, pa i za manji broj novouposlenih od 3 (tri), uz posebno obrazloženje.</w:t>
      </w:r>
    </w:p>
    <w:p w:rsidR="007B6C2C" w:rsidRPr="00082DF9" w:rsidRDefault="007B6C2C" w:rsidP="00F72C84">
      <w:pPr>
        <w:pStyle w:val="Bezproreda"/>
        <w:rPr>
          <w:b/>
        </w:rPr>
      </w:pPr>
      <w:r w:rsidRPr="00082DF9">
        <w:rPr>
          <w:b/>
        </w:rPr>
        <w:t>Visina sredstava, dinamika isplate sredstava</w:t>
      </w:r>
    </w:p>
    <w:p w:rsidR="007B6C2C" w:rsidRDefault="007B6C2C" w:rsidP="00F72C84">
      <w:pPr>
        <w:pStyle w:val="Bezproreda"/>
      </w:pPr>
      <w:r w:rsidRPr="007B6C2C">
        <w:t xml:space="preserve">Visina sredstava za poticanje zapošljavanja u </w:t>
      </w:r>
      <w:r>
        <w:t>2020</w:t>
      </w:r>
      <w:r w:rsidRPr="007B6C2C">
        <w:t>. godini utvrđuje se u iznosu sredstava predviđenih Proraču</w:t>
      </w:r>
      <w:r>
        <w:t>nom općine Prozor – Rama za 2020</w:t>
      </w:r>
      <w:r w:rsidRPr="007B6C2C">
        <w:t>. godinu na poziciji 614539 – Poticaj</w:t>
      </w:r>
      <w:r w:rsidRPr="0040767C">
        <w:t xml:space="preserve"> </w:t>
      </w:r>
      <w:r>
        <w:t xml:space="preserve">za zapošljavanje. </w:t>
      </w:r>
    </w:p>
    <w:p w:rsidR="007B6C2C" w:rsidRDefault="007B6C2C">
      <w:pPr>
        <w:pStyle w:val="Tijeloteksta"/>
        <w:spacing w:line="276" w:lineRule="auto"/>
      </w:pPr>
      <w:r>
        <w:t xml:space="preserve">Dinamika isplata sredstava Korisnicima bit će sukladno proračunskim mogućnostima, </w:t>
      </w:r>
      <w:r>
        <w:lastRenderedPageBreak/>
        <w:t xml:space="preserve">mišljenjima povjerenstva za odabir i praćenje realizacije projekata Korisnika, kao i sukladna potrebama Korisnika. </w:t>
      </w:r>
    </w:p>
    <w:p w:rsidR="007B6C2C" w:rsidRPr="001A762D" w:rsidRDefault="007B6C2C">
      <w:pPr>
        <w:pStyle w:val="Tijeloteksta"/>
        <w:rPr>
          <w:b/>
        </w:rPr>
      </w:pPr>
      <w:r>
        <w:t> </w:t>
      </w:r>
      <w:r w:rsidRPr="001A762D">
        <w:rPr>
          <w:b/>
        </w:rPr>
        <w:t>Napomene, potrebni dokumenti</w:t>
      </w:r>
    </w:p>
    <w:p w:rsidR="007B6C2C" w:rsidRDefault="007B6C2C">
      <w:pPr>
        <w:pStyle w:val="Tijeloteksta"/>
        <w:spacing w:line="276" w:lineRule="auto"/>
        <w:jc w:val="both"/>
      </w:pPr>
      <w:r>
        <w:t>Prijavu uraditi sadržajno po elementima zahtijevanim u potrebnoj dokumentaciji ovisno o pojedinom projektu. Nepotpune prijave neće se razmatrati. Uz prijavu se dostavlja Poslovni plan koji uključuje: plan prihoda i rashoda, plan financiranja po izvorima i namjeni sredstava</w:t>
      </w:r>
    </w:p>
    <w:p w:rsidR="007B6C2C" w:rsidRDefault="007B6C2C">
      <w:pPr>
        <w:pStyle w:val="Tijeloteksta"/>
        <w:spacing w:line="276" w:lineRule="auto"/>
      </w:pPr>
      <w:r>
        <w:t>Lista priloga koja se zahtijeva od podnositelja prijava nalazi se u tabeli kako slijedi: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2A5173" w:rsidTr="00F72C84">
        <w:trPr>
          <w:trHeight w:val="2780"/>
        </w:trPr>
        <w:tc>
          <w:tcPr>
            <w:tcW w:w="10368" w:type="dxa"/>
            <w:shd w:val="clear" w:color="auto" w:fill="FFFFFF"/>
            <w:vAlign w:val="center"/>
          </w:tcPr>
          <w:p w:rsidR="007B6C2C" w:rsidRPr="0040767C" w:rsidRDefault="007B6C2C" w:rsidP="00F72C84">
            <w:pPr>
              <w:pStyle w:val="Bezproreda"/>
            </w:pPr>
            <w:r w:rsidRPr="0040767C">
              <w:t>Potrebni prilozi:</w:t>
            </w:r>
          </w:p>
          <w:p w:rsidR="007B6C2C" w:rsidRPr="0040767C" w:rsidRDefault="007B6C2C" w:rsidP="00F72C8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40767C">
              <w:rPr>
                <w:rFonts w:ascii="Times New Roman" w:hAnsi="Times New Roman" w:cs="Times New Roman"/>
                <w:i/>
                <w:szCs w:val="20"/>
              </w:rPr>
              <w:t>Aktualni izvadak iz Sudskog rješenja o registraciji ili Rješenje o registraciji od nadležnog općinskog tijela,</w:t>
            </w:r>
          </w:p>
          <w:p w:rsidR="007B6C2C" w:rsidRPr="0040767C" w:rsidRDefault="007B6C2C" w:rsidP="00F72C8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40767C">
              <w:rPr>
                <w:rFonts w:ascii="Times New Roman" w:hAnsi="Times New Roman" w:cs="Times New Roman"/>
                <w:i/>
                <w:szCs w:val="20"/>
              </w:rPr>
              <w:t xml:space="preserve">Uvjerenje o poreskoj registraciji – ID broj </w:t>
            </w:r>
          </w:p>
          <w:p w:rsidR="007B6C2C" w:rsidRPr="0040767C" w:rsidRDefault="007B6C2C" w:rsidP="00F72C8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40767C">
              <w:rPr>
                <w:rFonts w:ascii="Times New Roman" w:hAnsi="Times New Roman" w:cs="Times New Roman"/>
                <w:i/>
                <w:szCs w:val="20"/>
              </w:rPr>
              <w:t>Uvjerenje o izmirenim direktnim poreznim obvezama od porezne uprave</w:t>
            </w:r>
          </w:p>
          <w:p w:rsidR="007B6C2C" w:rsidRPr="0040767C" w:rsidRDefault="007B6C2C" w:rsidP="00F72C8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0767C">
              <w:rPr>
                <w:rFonts w:ascii="Times New Roman" w:hAnsi="Times New Roman" w:cs="Times New Roman"/>
                <w:i/>
                <w:szCs w:val="20"/>
              </w:rPr>
              <w:t>Uvjerenje o nekažnjavanju  po osnovu gospodarskog kriminala fizičke ili odgovorne osobe (MUP)</w:t>
            </w:r>
          </w:p>
          <w:p w:rsidR="007B6C2C" w:rsidRPr="0040767C" w:rsidRDefault="007B6C2C" w:rsidP="00F72C8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40767C">
              <w:rPr>
                <w:rFonts w:ascii="Times New Roman" w:hAnsi="Times New Roman" w:cs="Times New Roman"/>
                <w:i/>
                <w:szCs w:val="20"/>
              </w:rPr>
              <w:t>Preslik</w:t>
            </w:r>
            <w:proofErr w:type="spellEnd"/>
            <w:r w:rsidRPr="0040767C">
              <w:rPr>
                <w:rFonts w:ascii="Times New Roman" w:hAnsi="Times New Roman" w:cs="Times New Roman"/>
                <w:i/>
                <w:szCs w:val="20"/>
              </w:rPr>
              <w:t xml:space="preserve">  osobne iskaznice fizičke ili odgovorne osobe</w:t>
            </w:r>
          </w:p>
          <w:p w:rsidR="007B6C2C" w:rsidRPr="0040767C" w:rsidRDefault="007B6C2C" w:rsidP="00F72C8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0767C">
              <w:rPr>
                <w:rFonts w:ascii="Times New Roman" w:hAnsi="Times New Roman" w:cs="Times New Roman"/>
                <w:i/>
                <w:szCs w:val="20"/>
              </w:rPr>
              <w:t>Uvjerenje o izmirenim obvezama  po osnovu PDV-a ili izjava da nije u sustavu PDV-a</w:t>
            </w:r>
          </w:p>
          <w:p w:rsidR="007B6C2C" w:rsidRPr="007B6C2C" w:rsidRDefault="007B6C2C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val="hr-BA"/>
              </w:rPr>
            </w:pPr>
            <w:r w:rsidRPr="007B6C2C">
              <w:rPr>
                <w:rFonts w:ascii="Times New Roman" w:hAnsi="Times New Roman" w:cs="Times New Roman"/>
                <w:i/>
                <w:szCs w:val="20"/>
                <w:lang w:val="hr-BA"/>
              </w:rPr>
              <w:t>Pregled registriranih osiguranika za period 01.01.201</w:t>
            </w:r>
            <w:r>
              <w:rPr>
                <w:rFonts w:ascii="Times New Roman" w:hAnsi="Times New Roman" w:cs="Times New Roman"/>
                <w:i/>
                <w:szCs w:val="20"/>
                <w:lang w:val="hr-BA"/>
              </w:rPr>
              <w:t>9</w:t>
            </w:r>
            <w:r w:rsidRPr="007B6C2C">
              <w:rPr>
                <w:rFonts w:ascii="Times New Roman" w:hAnsi="Times New Roman" w:cs="Times New Roman"/>
                <w:i/>
                <w:szCs w:val="20"/>
                <w:lang w:val="hr-BA"/>
              </w:rPr>
              <w:t xml:space="preserve">. do perioda zahtjeva (Porezna uprava) </w:t>
            </w:r>
          </w:p>
          <w:p w:rsidR="007B6C2C" w:rsidRPr="004A6832" w:rsidRDefault="007B6C2C" w:rsidP="007B6C2C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hr-BA"/>
              </w:rPr>
            </w:pPr>
            <w:r w:rsidRPr="007B6C2C">
              <w:rPr>
                <w:rFonts w:ascii="Times New Roman" w:hAnsi="Times New Roman" w:cs="Times New Roman"/>
                <w:i/>
                <w:szCs w:val="20"/>
                <w:lang w:val="hr-BA"/>
              </w:rPr>
              <w:t>Set financijskih izvješća za 201</w:t>
            </w:r>
            <w:r>
              <w:rPr>
                <w:rFonts w:ascii="Times New Roman" w:hAnsi="Times New Roman" w:cs="Times New Roman"/>
                <w:i/>
                <w:szCs w:val="20"/>
                <w:lang w:val="hr-BA"/>
              </w:rPr>
              <w:t>9</w:t>
            </w:r>
            <w:r w:rsidRPr="007B6C2C">
              <w:rPr>
                <w:rFonts w:ascii="Times New Roman" w:hAnsi="Times New Roman" w:cs="Times New Roman"/>
                <w:i/>
                <w:szCs w:val="20"/>
                <w:lang w:val="hr-BA"/>
              </w:rPr>
              <w:t>. g (bilanca uspjeha, bilanca stanja, posebni poda</w:t>
            </w:r>
            <w:r w:rsidR="004A6832">
              <w:rPr>
                <w:rFonts w:ascii="Times New Roman" w:hAnsi="Times New Roman" w:cs="Times New Roman"/>
                <w:i/>
                <w:szCs w:val="20"/>
                <w:lang w:val="hr-BA"/>
              </w:rPr>
              <w:t xml:space="preserve">ci, </w:t>
            </w:r>
            <w:proofErr w:type="spellStart"/>
            <w:r w:rsidR="004A6832">
              <w:rPr>
                <w:rFonts w:ascii="Times New Roman" w:hAnsi="Times New Roman" w:cs="Times New Roman"/>
                <w:i/>
                <w:szCs w:val="20"/>
                <w:lang w:val="hr-BA"/>
              </w:rPr>
              <w:t>anex</w:t>
            </w:r>
            <w:proofErr w:type="spellEnd"/>
            <w:r w:rsidR="004A6832">
              <w:rPr>
                <w:rFonts w:ascii="Times New Roman" w:hAnsi="Times New Roman" w:cs="Times New Roman"/>
                <w:i/>
                <w:szCs w:val="20"/>
                <w:lang w:val="hr-BA"/>
              </w:rPr>
              <w:t xml:space="preserve"> statističkog izvješća),</w:t>
            </w:r>
          </w:p>
          <w:p w:rsidR="004A6832" w:rsidRPr="0040767C" w:rsidRDefault="004A6832" w:rsidP="007B6C2C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i/>
                <w:szCs w:val="20"/>
                <w:lang w:val="hr-BA"/>
              </w:rPr>
              <w:t>Projekt sa predračunskim vrijednostima investicijskih radova sačinjen od ovlaštene osobe – institucije.</w:t>
            </w:r>
          </w:p>
        </w:tc>
      </w:tr>
    </w:tbl>
    <w:p w:rsidR="007B6C2C" w:rsidRDefault="007B6C2C">
      <w:pPr>
        <w:pStyle w:val="Tijeloteksta"/>
        <w:spacing w:line="276" w:lineRule="auto"/>
        <w:jc w:val="both"/>
      </w:pPr>
      <w:r>
        <w:t>Broj prihvaćenih prijava, te visina sredstava koja će se dati na raspolaganje podnosiocu prijave, ovisiti će isključivo o  kvaliteti poslovnog plana, kao i o visini raspoloživih sredstava.</w:t>
      </w:r>
    </w:p>
    <w:p w:rsidR="007B6C2C" w:rsidRDefault="007B6C2C">
      <w:pPr>
        <w:pStyle w:val="Tijeloteksta"/>
        <w:spacing w:line="276" w:lineRule="auto"/>
        <w:jc w:val="both"/>
      </w:pPr>
      <w:r>
        <w:t>Povjerenstvo će za svaki zahtjev procijeniti potpunost zahtjeva i ispravnost dokumentacije, ocijeniti da li se po podnesenom programu osigurava stvarno povećano zapošljavanje po Programu, te predložiti prihvaćanje zahtjeva u cijelosti, prihvaćanje zahtjeva za manji broj novouposlenih u odnosu na traženi, ili odbacivanje zahtjev za poticaj u cijelosti.</w:t>
      </w:r>
    </w:p>
    <w:p w:rsidR="007B6C2C" w:rsidRPr="009778D5" w:rsidRDefault="007B6C2C">
      <w:pPr>
        <w:pStyle w:val="Bezproreda"/>
      </w:pPr>
      <w:r>
        <w:t>Sa poslodavcima se nakon odobravanja poticaja potpisuje Ugovor o međusobnim pravima i obvezama, mjerama i instrumentima za osiguranje preuzetih obveza. Potrebna dokumentacija za sudjelovanje na javnom natječaju može se  pre</w:t>
      </w:r>
      <w:bookmarkStart w:id="0" w:name="_GoBack"/>
      <w:bookmarkEnd w:id="0"/>
      <w:r>
        <w:t xml:space="preserve">uzeti u prostorijama općine Prozor - Rama, ulica Kralja Tomislava </w:t>
      </w:r>
      <w:proofErr w:type="spellStart"/>
      <w:r>
        <w:t>bb</w:t>
      </w:r>
      <w:proofErr w:type="spellEnd"/>
      <w:r>
        <w:t xml:space="preserve"> radnim danom u vremenu od 08-16 sati ili elektronskim putem na web </w:t>
      </w:r>
      <w:r w:rsidRPr="009778D5">
        <w:t>stranici općine (</w:t>
      </w:r>
      <w:hyperlink r:id="rId6" w:history="1">
        <w:r w:rsidRPr="009778D5">
          <w:rPr>
            <w:rStyle w:val="Hiperveza"/>
            <w:color w:val="auto"/>
          </w:rPr>
          <w:t>www.prozor-rama.org</w:t>
        </w:r>
      </w:hyperlink>
      <w:r w:rsidRPr="009778D5">
        <w:t xml:space="preserve"> ). Prijave sa odgovarajućim prilozima šalju se preporučeno poštom ili osobno u za</w:t>
      </w:r>
      <w:r>
        <w:t>tvorenim</w:t>
      </w:r>
      <w:r w:rsidRPr="009778D5">
        <w:t xml:space="preserve"> kuvertama na adre</w:t>
      </w:r>
      <w:r>
        <w:t xml:space="preserve">su: Općina Prozor – Rama, K. Tomislava </w:t>
      </w:r>
      <w:proofErr w:type="spellStart"/>
      <w:r>
        <w:t>bb</w:t>
      </w:r>
      <w:proofErr w:type="spellEnd"/>
      <w:r>
        <w:t>.</w:t>
      </w:r>
    </w:p>
    <w:p w:rsidR="007B6C2C" w:rsidRPr="007B6C2C" w:rsidRDefault="007B6C2C">
      <w:pPr>
        <w:pStyle w:val="Tijeloteksta"/>
        <w:spacing w:line="276" w:lineRule="auto"/>
        <w:jc w:val="both"/>
      </w:pPr>
      <w:r w:rsidRPr="007B6C2C">
        <w:t>Povjerenstvo za provedbu Javnog poziva će zaprimljene  prijave razmatrati periodično i donositi odgovarajuće odluke i prije</w:t>
      </w:r>
      <w:r>
        <w:t>dloge. Ukoliko prije  31.12.2020</w:t>
      </w:r>
      <w:r w:rsidRPr="007B6C2C">
        <w:t>. budu raspoređena predviđena sredstva, povjerenstvo može prekinuti zaprimanje prijava.</w:t>
      </w:r>
    </w:p>
    <w:p w:rsidR="007B6C2C" w:rsidRPr="007B6C2C" w:rsidRDefault="007B6C2C">
      <w:pPr>
        <w:pStyle w:val="Tijeloteksta"/>
      </w:pPr>
      <w:r w:rsidRPr="007B6C2C">
        <w:t xml:space="preserve">Rok za dostavu prijava: </w:t>
      </w:r>
      <w:r>
        <w:rPr>
          <w:b/>
        </w:rPr>
        <w:t>od dana objave do 31.12.2020</w:t>
      </w:r>
      <w:r w:rsidRPr="007B6C2C">
        <w:rPr>
          <w:b/>
        </w:rPr>
        <w:t>.godine</w:t>
      </w:r>
      <w:r w:rsidRPr="007B6C2C">
        <w:t xml:space="preserve">. </w:t>
      </w:r>
    </w:p>
    <w:p w:rsidR="007B6C2C" w:rsidRDefault="007B6C2C">
      <w:pPr>
        <w:pStyle w:val="Tijeloteksta"/>
      </w:pPr>
      <w:r>
        <w:t xml:space="preserve"> Sve dodatne informacije vezane za ovaj Javni poziv mogu se dobiti svakim radnim danom na brojeve telefona: 036/771-912, ili  u vremenu od 10 -14 sati. </w:t>
      </w:r>
    </w:p>
    <w:p w:rsidR="007B6C2C" w:rsidRDefault="007B6C2C">
      <w:pPr>
        <w:pStyle w:val="Tijeloteksta"/>
      </w:pPr>
    </w:p>
    <w:p w:rsidR="007B6C2C" w:rsidRDefault="007B6C2C" w:rsidP="00F72C84">
      <w:pPr>
        <w:pStyle w:val="Bezproreda"/>
        <w:rPr>
          <w:b/>
          <w:bCs/>
          <w:lang w:val="sr-Latn-CS"/>
        </w:rPr>
      </w:pPr>
      <w:r>
        <w:t>   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Načelnik</w:t>
      </w:r>
    </w:p>
    <w:p w:rsidR="007B6C2C" w:rsidRPr="00EE0113" w:rsidRDefault="007B6C2C" w:rsidP="00F72C84">
      <w:pPr>
        <w:pStyle w:val="Bezproreda"/>
        <w:rPr>
          <w:lang w:val="bs-Latn-BA"/>
        </w:rPr>
      </w:pPr>
      <w:r w:rsidRPr="00EE0113">
        <w:rPr>
          <w:lang w:val="bs-Latn-BA"/>
        </w:rPr>
        <w:t>Broj: 01/1- 21 -</w:t>
      </w:r>
      <w:r w:rsidR="00E34981">
        <w:rPr>
          <w:lang w:val="bs-Latn-BA"/>
        </w:rPr>
        <w:t>1380-1</w:t>
      </w:r>
      <w:r w:rsidRPr="00EE0113">
        <w:rPr>
          <w:lang w:val="bs-Latn-BA"/>
        </w:rPr>
        <w:t>/20</w:t>
      </w:r>
    </w:p>
    <w:p w:rsidR="007B6C2C" w:rsidRPr="0040767C" w:rsidRDefault="007B6C2C" w:rsidP="00F72C84">
      <w:pPr>
        <w:pStyle w:val="Bezproreda"/>
        <w:rPr>
          <w:bCs/>
          <w:lang w:val="sr-Latn-CS"/>
        </w:rPr>
      </w:pPr>
      <w:r w:rsidRPr="0040767C">
        <w:rPr>
          <w:b/>
          <w:bCs/>
          <w:lang w:val="sr-Latn-CS"/>
        </w:rPr>
        <w:tab/>
      </w:r>
      <w:r w:rsidRPr="0040767C">
        <w:rPr>
          <w:b/>
          <w:bCs/>
          <w:lang w:val="sr-Latn-CS"/>
        </w:rPr>
        <w:tab/>
      </w:r>
      <w:r w:rsidRPr="0040767C">
        <w:rPr>
          <w:b/>
          <w:bCs/>
          <w:lang w:val="sr-Latn-CS"/>
        </w:rPr>
        <w:tab/>
      </w:r>
      <w:r w:rsidRPr="0040767C">
        <w:rPr>
          <w:b/>
          <w:bCs/>
          <w:lang w:val="sr-Latn-CS"/>
        </w:rPr>
        <w:tab/>
      </w:r>
      <w:r w:rsidRPr="0040767C">
        <w:rPr>
          <w:b/>
          <w:bCs/>
          <w:lang w:val="sr-Latn-CS"/>
        </w:rPr>
        <w:tab/>
      </w:r>
      <w:r w:rsidRPr="0040767C">
        <w:rPr>
          <w:b/>
          <w:bCs/>
          <w:lang w:val="sr-Latn-CS"/>
        </w:rPr>
        <w:tab/>
      </w:r>
      <w:r w:rsidRPr="0040767C">
        <w:rPr>
          <w:b/>
          <w:bCs/>
          <w:lang w:val="sr-Latn-CS"/>
        </w:rPr>
        <w:tab/>
      </w:r>
      <w:r w:rsidRPr="0040767C">
        <w:rPr>
          <w:b/>
          <w:bCs/>
          <w:lang w:val="sr-Latn-CS"/>
        </w:rPr>
        <w:tab/>
      </w:r>
      <w:r w:rsidRPr="0040767C">
        <w:rPr>
          <w:b/>
          <w:bCs/>
          <w:lang w:val="sr-Latn-CS"/>
        </w:rPr>
        <w:tab/>
      </w:r>
      <w:r w:rsidRPr="0040767C">
        <w:rPr>
          <w:bCs/>
          <w:lang w:val="sr-Latn-CS"/>
        </w:rPr>
        <w:t>dr. Jozo Ivančević</w:t>
      </w:r>
    </w:p>
    <w:p w:rsidR="007B6C2C" w:rsidRPr="001D53D6" w:rsidRDefault="001D53D6" w:rsidP="00F72C84">
      <w:pPr>
        <w:pStyle w:val="Bezproreda"/>
      </w:pPr>
      <w:r>
        <w:rPr>
          <w:lang w:val="bs-Latn-BA"/>
        </w:rPr>
        <w:t>Prozor, 04.06</w:t>
      </w:r>
      <w:r w:rsidR="007B6C2C" w:rsidRPr="001D53D6">
        <w:rPr>
          <w:lang w:val="bs-Latn-BA"/>
        </w:rPr>
        <w:t>.2020.god.</w:t>
      </w:r>
    </w:p>
    <w:p w:rsidR="007B6C2C" w:rsidRDefault="007B6C2C"/>
    <w:p w:rsidR="00E85242" w:rsidRDefault="00E85242"/>
    <w:sectPr w:rsidR="00E85242" w:rsidSect="00F7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4B343C99"/>
    <w:multiLevelType w:val="multilevel"/>
    <w:tmpl w:val="E012BB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2C"/>
    <w:rsid w:val="00146942"/>
    <w:rsid w:val="001D53D6"/>
    <w:rsid w:val="002A5173"/>
    <w:rsid w:val="003654D0"/>
    <w:rsid w:val="004A6832"/>
    <w:rsid w:val="007B6C2C"/>
    <w:rsid w:val="00CD2327"/>
    <w:rsid w:val="00E34981"/>
    <w:rsid w:val="00E85242"/>
    <w:rsid w:val="00EE0113"/>
    <w:rsid w:val="00F7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B6C2C"/>
    <w:rPr>
      <w:color w:val="000080"/>
      <w:u w:val="single"/>
    </w:rPr>
  </w:style>
  <w:style w:type="paragraph" w:styleId="Tijeloteksta">
    <w:name w:val="Body Text"/>
    <w:basedOn w:val="Normal"/>
    <w:link w:val="TijelotekstaChar"/>
    <w:rsid w:val="007B6C2C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7B6C2C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customStyle="1" w:styleId="Sadrajitablice">
    <w:name w:val="Sadržaji tablice"/>
    <w:basedOn w:val="Normal"/>
    <w:rsid w:val="007B6C2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paragraph" w:styleId="Odlomakpopisa">
    <w:name w:val="List Paragraph"/>
    <w:basedOn w:val="Normal"/>
    <w:qFormat/>
    <w:rsid w:val="007B6C2C"/>
    <w:pPr>
      <w:ind w:left="720"/>
    </w:pPr>
    <w:rPr>
      <w:rFonts w:ascii="Calibri" w:eastAsia="Calibri" w:hAnsi="Calibri" w:cs="Calibri"/>
      <w:lang w:val="en-GB" w:eastAsia="ar-SA"/>
    </w:rPr>
  </w:style>
  <w:style w:type="paragraph" w:styleId="Bezproreda">
    <w:name w:val="No Spacing"/>
    <w:qFormat/>
    <w:rsid w:val="007B6C2C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sz w:val="24"/>
      <w:szCs w:val="24"/>
      <w:lang w:val="hr-B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B6C2C"/>
    <w:rPr>
      <w:color w:val="000080"/>
      <w:u w:val="single"/>
    </w:rPr>
  </w:style>
  <w:style w:type="paragraph" w:styleId="Tijeloteksta">
    <w:name w:val="Body Text"/>
    <w:basedOn w:val="Normal"/>
    <w:link w:val="TijelotekstaChar"/>
    <w:rsid w:val="007B6C2C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7B6C2C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customStyle="1" w:styleId="Sadrajitablice">
    <w:name w:val="Sadržaji tablice"/>
    <w:basedOn w:val="Normal"/>
    <w:rsid w:val="007B6C2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paragraph" w:styleId="Odlomakpopisa">
    <w:name w:val="List Paragraph"/>
    <w:basedOn w:val="Normal"/>
    <w:qFormat/>
    <w:rsid w:val="007B6C2C"/>
    <w:pPr>
      <w:ind w:left="720"/>
    </w:pPr>
    <w:rPr>
      <w:rFonts w:ascii="Calibri" w:eastAsia="Calibri" w:hAnsi="Calibri" w:cs="Calibri"/>
      <w:lang w:val="en-GB" w:eastAsia="ar-SA"/>
    </w:rPr>
  </w:style>
  <w:style w:type="paragraph" w:styleId="Bezproreda">
    <w:name w:val="No Spacing"/>
    <w:qFormat/>
    <w:rsid w:val="007B6C2C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sz w:val="24"/>
      <w:szCs w:val="24"/>
      <w:lang w:val="hr-B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rpo.gov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2020-06-04T06:28:00Z</cp:lastPrinted>
  <dcterms:created xsi:type="dcterms:W3CDTF">2020-01-20T14:39:00Z</dcterms:created>
  <dcterms:modified xsi:type="dcterms:W3CDTF">2020-06-04T06:29:00Z</dcterms:modified>
</cp:coreProperties>
</file>